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AA0" w:rsidRPr="006B2A2E" w:rsidRDefault="00DE0AA0" w:rsidP="00DE0AA0">
      <w:pPr>
        <w:jc w:val="center"/>
        <w:rPr>
          <w:b/>
          <w:sz w:val="36"/>
          <w:u w:val="single"/>
        </w:rPr>
      </w:pPr>
      <w:bookmarkStart w:id="0" w:name="_GoBack"/>
      <w:bookmarkEnd w:id="0"/>
      <w:r w:rsidRPr="006B2A2E">
        <w:rPr>
          <w:b/>
          <w:sz w:val="36"/>
          <w:u w:val="single"/>
        </w:rPr>
        <w:t>Hinweis zu den Vorleistungspreisen zum offenen Zugang im Bundesförderprogramm</w:t>
      </w:r>
    </w:p>
    <w:p w:rsidR="00DE0AA0" w:rsidRPr="006B2A2E" w:rsidRDefault="00DE0AA0">
      <w:pPr>
        <w:rPr>
          <w:sz w:val="28"/>
        </w:rPr>
      </w:pPr>
    </w:p>
    <w:p w:rsidR="00DE0AA0" w:rsidRDefault="00DE0AA0"/>
    <w:p w:rsidR="00DE0AA0" w:rsidRPr="00B537C0" w:rsidRDefault="00DE0AA0">
      <w:pPr>
        <w:rPr>
          <w:sz w:val="22"/>
        </w:rPr>
      </w:pPr>
      <w:r w:rsidRPr="00B537C0">
        <w:rPr>
          <w:sz w:val="22"/>
        </w:rPr>
        <w:t xml:space="preserve">Nach </w:t>
      </w:r>
      <w:r w:rsidRPr="006C4CC8">
        <w:rPr>
          <w:sz w:val="22"/>
        </w:rPr>
        <w:t>§ 7 Abs. 1</w:t>
      </w:r>
      <w:r w:rsidRPr="00B537C0">
        <w:rPr>
          <w:sz w:val="22"/>
        </w:rPr>
        <w:t xml:space="preserve"> Gigabit-Rahmenregelung (Gigabit-RR) müssen die Angebote der Betreiber unter anderem die Verpflichtung zur Herstellung eines offenen und diskriminier</w:t>
      </w:r>
      <w:r w:rsidR="006B2A2E" w:rsidRPr="00B537C0">
        <w:rPr>
          <w:sz w:val="22"/>
        </w:rPr>
        <w:t>u</w:t>
      </w:r>
      <w:r w:rsidRPr="00B537C0">
        <w:rPr>
          <w:sz w:val="22"/>
        </w:rPr>
        <w:t>ngsfreien Zugangs (auf Vorleistungsebene) und Angaben zur geplanten Art und Weise der Erfüllung dieser Verpflichtung einschließlich indikativer Angabe möglicher Vorleistungspreise umfassen.</w:t>
      </w:r>
    </w:p>
    <w:p w:rsidR="00DE0AA0" w:rsidRPr="00B537C0" w:rsidRDefault="00DE0AA0">
      <w:pPr>
        <w:rPr>
          <w:sz w:val="22"/>
        </w:rPr>
      </w:pPr>
    </w:p>
    <w:p w:rsidR="00DE0AA0" w:rsidRPr="00B537C0" w:rsidRDefault="00DE0AA0">
      <w:pPr>
        <w:rPr>
          <w:sz w:val="22"/>
        </w:rPr>
      </w:pPr>
      <w:r w:rsidRPr="00B537C0">
        <w:rPr>
          <w:sz w:val="22"/>
        </w:rPr>
        <w:t xml:space="preserve">Gemäß Ziff. </w:t>
      </w:r>
      <w:r w:rsidRPr="006C4CC8">
        <w:rPr>
          <w:sz w:val="22"/>
        </w:rPr>
        <w:t>7.5</w:t>
      </w:r>
      <w:r w:rsidRPr="00B537C0">
        <w:rPr>
          <w:sz w:val="22"/>
        </w:rPr>
        <w:t xml:space="preserve"> der Richtlinie "Förderung zur Unterstützung des Gigabitausbaus der Telekommunikationsnetze in der Bundesrepublik Deutschland" vom 26.04.2021 hat der Zuwendungsempfänger einen diskriminierungsfreien Zugang gemäß </w:t>
      </w:r>
      <w:r w:rsidRPr="00C02082">
        <w:rPr>
          <w:sz w:val="22"/>
        </w:rPr>
        <w:t>§ 8</w:t>
      </w:r>
      <w:r w:rsidRPr="00B537C0">
        <w:rPr>
          <w:sz w:val="22"/>
        </w:rPr>
        <w:t xml:space="preserve"> der Gigabit-RR vom 13.11.2020 zu gewährleisten.</w:t>
      </w:r>
    </w:p>
    <w:p w:rsidR="00DE0AA0" w:rsidRPr="00B537C0" w:rsidRDefault="00DE0AA0">
      <w:pPr>
        <w:rPr>
          <w:sz w:val="22"/>
        </w:rPr>
      </w:pPr>
    </w:p>
    <w:p w:rsidR="00DE0AA0" w:rsidRPr="00B537C0" w:rsidRDefault="00DE0AA0">
      <w:pPr>
        <w:rPr>
          <w:sz w:val="22"/>
        </w:rPr>
      </w:pPr>
      <w:r w:rsidRPr="00B537C0">
        <w:rPr>
          <w:sz w:val="22"/>
        </w:rPr>
        <w:t xml:space="preserve">Für die folgenden Zugänge sind dementsprechend indikative Angaben zu Vorleistungspreisen vorzunehmen (vgl. </w:t>
      </w:r>
      <w:r w:rsidRPr="00C02082">
        <w:rPr>
          <w:sz w:val="22"/>
        </w:rPr>
        <w:t>§ 8 Abs. 1</w:t>
      </w:r>
      <w:r w:rsidRPr="00B537C0">
        <w:rPr>
          <w:sz w:val="22"/>
        </w:rPr>
        <w:t xml:space="preserve"> Gigabit-RR).</w:t>
      </w:r>
    </w:p>
    <w:p w:rsidR="00DE0AA0" w:rsidRDefault="00DE0AA0"/>
    <w:tbl>
      <w:tblPr>
        <w:tblStyle w:val="Tabellenraster"/>
        <w:tblW w:w="9325" w:type="dxa"/>
        <w:tblInd w:w="-5" w:type="dxa"/>
        <w:tblLayout w:type="fixed"/>
        <w:tblLook w:val="04A0" w:firstRow="1" w:lastRow="0" w:firstColumn="1" w:lastColumn="0" w:noHBand="0" w:noVBand="1"/>
      </w:tblPr>
      <w:tblGrid>
        <w:gridCol w:w="487"/>
        <w:gridCol w:w="2575"/>
        <w:gridCol w:w="1662"/>
        <w:gridCol w:w="1119"/>
        <w:gridCol w:w="1492"/>
        <w:gridCol w:w="1990"/>
      </w:tblGrid>
      <w:tr w:rsidR="006B2A2E" w:rsidRPr="00B537C0" w:rsidTr="006B7810">
        <w:trPr>
          <w:trHeight w:val="221"/>
        </w:trPr>
        <w:tc>
          <w:tcPr>
            <w:tcW w:w="487" w:type="dxa"/>
            <w:shd w:val="clear" w:color="auto" w:fill="D0CECE" w:themeFill="background2" w:themeFillShade="E6"/>
            <w:vAlign w:val="center"/>
          </w:tcPr>
          <w:p w:rsidR="00DE0AA0" w:rsidRPr="00B537C0" w:rsidRDefault="00DE0AA0" w:rsidP="006B2A2E">
            <w:pPr>
              <w:ind w:left="-46"/>
              <w:jc w:val="left"/>
              <w:rPr>
                <w:sz w:val="22"/>
              </w:rPr>
            </w:pPr>
          </w:p>
        </w:tc>
        <w:tc>
          <w:tcPr>
            <w:tcW w:w="2575" w:type="dxa"/>
            <w:shd w:val="clear" w:color="auto" w:fill="D0CECE" w:themeFill="background2" w:themeFillShade="E6"/>
            <w:vAlign w:val="center"/>
          </w:tcPr>
          <w:p w:rsidR="00DE0AA0" w:rsidRPr="00B537C0" w:rsidRDefault="00DE0AA0" w:rsidP="00DE0AA0">
            <w:pPr>
              <w:jc w:val="left"/>
              <w:rPr>
                <w:b/>
                <w:sz w:val="22"/>
              </w:rPr>
            </w:pPr>
          </w:p>
        </w:tc>
        <w:tc>
          <w:tcPr>
            <w:tcW w:w="1662" w:type="dxa"/>
            <w:shd w:val="clear" w:color="auto" w:fill="D0CECE" w:themeFill="background2" w:themeFillShade="E6"/>
            <w:vAlign w:val="center"/>
          </w:tcPr>
          <w:p w:rsidR="00DE0AA0" w:rsidRPr="00B537C0" w:rsidRDefault="00DE0AA0" w:rsidP="00DE0AA0">
            <w:pPr>
              <w:jc w:val="left"/>
              <w:rPr>
                <w:b/>
                <w:sz w:val="22"/>
              </w:rPr>
            </w:pPr>
            <w:r w:rsidRPr="00B537C0">
              <w:rPr>
                <w:b/>
                <w:sz w:val="22"/>
              </w:rPr>
              <w:t>Beschreibung</w:t>
            </w:r>
          </w:p>
        </w:tc>
        <w:tc>
          <w:tcPr>
            <w:tcW w:w="1119" w:type="dxa"/>
            <w:shd w:val="clear" w:color="auto" w:fill="D0CECE" w:themeFill="background2" w:themeFillShade="E6"/>
            <w:vAlign w:val="center"/>
          </w:tcPr>
          <w:p w:rsidR="00DE0AA0" w:rsidRPr="00B537C0" w:rsidRDefault="00DE0AA0" w:rsidP="00DE0AA0">
            <w:pPr>
              <w:jc w:val="left"/>
              <w:rPr>
                <w:b/>
                <w:sz w:val="22"/>
              </w:rPr>
            </w:pPr>
            <w:r w:rsidRPr="00B537C0">
              <w:rPr>
                <w:b/>
                <w:sz w:val="22"/>
              </w:rPr>
              <w:t>Preis</w:t>
            </w:r>
          </w:p>
        </w:tc>
        <w:tc>
          <w:tcPr>
            <w:tcW w:w="1492" w:type="dxa"/>
            <w:shd w:val="clear" w:color="auto" w:fill="D0CECE" w:themeFill="background2" w:themeFillShade="E6"/>
            <w:vAlign w:val="center"/>
          </w:tcPr>
          <w:p w:rsidR="00DE0AA0" w:rsidRPr="00B537C0" w:rsidRDefault="00DE0AA0" w:rsidP="00DE0AA0">
            <w:pPr>
              <w:jc w:val="left"/>
              <w:rPr>
                <w:b/>
                <w:sz w:val="22"/>
              </w:rPr>
            </w:pPr>
            <w:r w:rsidRPr="00B537C0">
              <w:rPr>
                <w:b/>
                <w:sz w:val="22"/>
              </w:rPr>
              <w:t>Einheit</w:t>
            </w:r>
          </w:p>
        </w:tc>
        <w:tc>
          <w:tcPr>
            <w:tcW w:w="1990" w:type="dxa"/>
            <w:shd w:val="clear" w:color="auto" w:fill="D0CECE" w:themeFill="background2" w:themeFillShade="E6"/>
            <w:vAlign w:val="center"/>
          </w:tcPr>
          <w:p w:rsidR="00DE0AA0" w:rsidRPr="00B537C0" w:rsidRDefault="00DE0AA0" w:rsidP="00DE0AA0">
            <w:pPr>
              <w:jc w:val="left"/>
              <w:rPr>
                <w:b/>
                <w:sz w:val="22"/>
              </w:rPr>
            </w:pPr>
            <w:r w:rsidRPr="00B537C0">
              <w:rPr>
                <w:b/>
                <w:sz w:val="22"/>
              </w:rPr>
              <w:t>Bezugszeitraum</w:t>
            </w:r>
          </w:p>
        </w:tc>
      </w:tr>
      <w:tr w:rsidR="00B537C0" w:rsidRPr="00B537C0" w:rsidTr="006B7810">
        <w:trPr>
          <w:trHeight w:val="343"/>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1.</w:t>
            </w:r>
          </w:p>
        </w:tc>
        <w:tc>
          <w:tcPr>
            <w:tcW w:w="2575" w:type="dxa"/>
            <w:vAlign w:val="center"/>
          </w:tcPr>
          <w:p w:rsidR="00DE0AA0" w:rsidRPr="00B537C0" w:rsidRDefault="00DE0AA0" w:rsidP="00DE0AA0">
            <w:pPr>
              <w:jc w:val="left"/>
              <w:rPr>
                <w:sz w:val="22"/>
              </w:rPr>
            </w:pPr>
            <w:r w:rsidRPr="00B537C0">
              <w:rPr>
                <w:sz w:val="22"/>
              </w:rPr>
              <w:t>Zugang zu Leerrohren</w:t>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r w:rsidR="00B537C0" w:rsidRPr="00B537C0" w:rsidTr="006B7810">
        <w:trPr>
          <w:trHeight w:val="987"/>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2.</w:t>
            </w:r>
          </w:p>
        </w:tc>
        <w:tc>
          <w:tcPr>
            <w:tcW w:w="2575" w:type="dxa"/>
            <w:vAlign w:val="center"/>
          </w:tcPr>
          <w:p w:rsidR="00DE0AA0" w:rsidRPr="00B537C0" w:rsidRDefault="00DE0AA0" w:rsidP="00DE0AA0">
            <w:pPr>
              <w:jc w:val="left"/>
              <w:rPr>
                <w:sz w:val="22"/>
              </w:rPr>
            </w:pPr>
            <w:r w:rsidRPr="00B537C0">
              <w:rPr>
                <w:sz w:val="22"/>
              </w:rPr>
              <w:t>Zugang zu Verteilern (bzw. Bereitstellung von Kollokationsflächen)</w:t>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r w:rsidR="00B537C0" w:rsidRPr="00B537C0" w:rsidTr="006B7810">
        <w:trPr>
          <w:trHeight w:val="702"/>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3.</w:t>
            </w:r>
          </w:p>
        </w:tc>
        <w:tc>
          <w:tcPr>
            <w:tcW w:w="2575" w:type="dxa"/>
            <w:vAlign w:val="center"/>
          </w:tcPr>
          <w:p w:rsidR="00DE0AA0" w:rsidRPr="00B537C0" w:rsidRDefault="00DE0AA0" w:rsidP="00DE0AA0">
            <w:pPr>
              <w:jc w:val="left"/>
              <w:rPr>
                <w:sz w:val="22"/>
              </w:rPr>
            </w:pPr>
            <w:r w:rsidRPr="00B537C0">
              <w:rPr>
                <w:sz w:val="22"/>
              </w:rPr>
              <w:t>Zugang zu unbeschalteten Glasfasern (dark fiber)</w:t>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r w:rsidR="00B537C0" w:rsidRPr="00B537C0" w:rsidTr="006B7810">
        <w:trPr>
          <w:trHeight w:val="698"/>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4.</w:t>
            </w:r>
          </w:p>
        </w:tc>
        <w:tc>
          <w:tcPr>
            <w:tcW w:w="2575" w:type="dxa"/>
            <w:vAlign w:val="center"/>
          </w:tcPr>
          <w:p w:rsidR="00DE0AA0" w:rsidRPr="00B537C0" w:rsidRDefault="00DE0AA0" w:rsidP="006B2A2E">
            <w:pPr>
              <w:jc w:val="left"/>
              <w:rPr>
                <w:sz w:val="22"/>
              </w:rPr>
            </w:pPr>
            <w:r w:rsidRPr="00B537C0">
              <w:rPr>
                <w:sz w:val="22"/>
              </w:rPr>
              <w:t>Biststromzugang (Layer I, II, III)</w:t>
            </w:r>
            <w:r w:rsidR="006B2A2E" w:rsidRPr="00B537C0">
              <w:rPr>
                <w:rStyle w:val="Funotenzeichen"/>
                <w:sz w:val="22"/>
              </w:rPr>
              <w:footnoteReference w:id="1"/>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r w:rsidR="00B537C0" w:rsidRPr="00B537C0" w:rsidTr="006B7810">
        <w:trPr>
          <w:trHeight w:val="1118"/>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5.</w:t>
            </w:r>
          </w:p>
        </w:tc>
        <w:tc>
          <w:tcPr>
            <w:tcW w:w="2575" w:type="dxa"/>
            <w:vAlign w:val="center"/>
          </w:tcPr>
          <w:p w:rsidR="00DE0AA0" w:rsidRPr="00B537C0" w:rsidRDefault="00DE0AA0" w:rsidP="00DE0AA0">
            <w:pPr>
              <w:jc w:val="left"/>
              <w:rPr>
                <w:sz w:val="22"/>
              </w:rPr>
            </w:pPr>
            <w:r w:rsidRPr="00B537C0">
              <w:rPr>
                <w:sz w:val="22"/>
              </w:rPr>
              <w:t>Vollständig entbündelter Zugang zur Teilnehmeranschlussleitung (TAL)</w:t>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r w:rsidR="00B537C0" w:rsidRPr="00B537C0" w:rsidTr="006B7810">
        <w:trPr>
          <w:trHeight w:val="1702"/>
        </w:trPr>
        <w:tc>
          <w:tcPr>
            <w:tcW w:w="487" w:type="dxa"/>
            <w:shd w:val="clear" w:color="auto" w:fill="D0CECE" w:themeFill="background2" w:themeFillShade="E6"/>
            <w:vAlign w:val="center"/>
          </w:tcPr>
          <w:p w:rsidR="00DE0AA0" w:rsidRPr="00B537C0" w:rsidRDefault="00DE0AA0" w:rsidP="00DE0AA0">
            <w:pPr>
              <w:jc w:val="left"/>
              <w:rPr>
                <w:sz w:val="22"/>
              </w:rPr>
            </w:pPr>
            <w:r w:rsidRPr="00B537C0">
              <w:rPr>
                <w:sz w:val="22"/>
              </w:rPr>
              <w:t>6.</w:t>
            </w:r>
          </w:p>
        </w:tc>
        <w:tc>
          <w:tcPr>
            <w:tcW w:w="2575" w:type="dxa"/>
            <w:vAlign w:val="center"/>
          </w:tcPr>
          <w:p w:rsidR="00DE0AA0" w:rsidRPr="00B537C0" w:rsidRDefault="00DE0AA0" w:rsidP="00DE0AA0">
            <w:pPr>
              <w:jc w:val="left"/>
              <w:rPr>
                <w:sz w:val="22"/>
              </w:rPr>
            </w:pPr>
            <w:r w:rsidRPr="00B537C0">
              <w:rPr>
                <w:sz w:val="22"/>
              </w:rPr>
              <w:t>Falls eine vollständige Entbündelung nicht möglich ist, ist ein gleichwertiges virtuelles Zugangsprodukt bereitzustellen</w:t>
            </w:r>
          </w:p>
        </w:tc>
        <w:tc>
          <w:tcPr>
            <w:tcW w:w="1662" w:type="dxa"/>
            <w:vAlign w:val="center"/>
          </w:tcPr>
          <w:p w:rsidR="00DE0AA0" w:rsidRPr="00B537C0" w:rsidRDefault="00DE0AA0" w:rsidP="00DE0AA0">
            <w:pPr>
              <w:jc w:val="left"/>
              <w:rPr>
                <w:sz w:val="22"/>
              </w:rPr>
            </w:pPr>
          </w:p>
        </w:tc>
        <w:tc>
          <w:tcPr>
            <w:tcW w:w="1119" w:type="dxa"/>
            <w:vAlign w:val="center"/>
          </w:tcPr>
          <w:p w:rsidR="00DE0AA0" w:rsidRPr="00B537C0" w:rsidRDefault="00DE0AA0" w:rsidP="00DE0AA0">
            <w:pPr>
              <w:jc w:val="left"/>
              <w:rPr>
                <w:sz w:val="22"/>
              </w:rPr>
            </w:pPr>
          </w:p>
        </w:tc>
        <w:tc>
          <w:tcPr>
            <w:tcW w:w="1492" w:type="dxa"/>
            <w:vAlign w:val="center"/>
          </w:tcPr>
          <w:p w:rsidR="00DE0AA0" w:rsidRPr="00B537C0" w:rsidRDefault="00DE0AA0" w:rsidP="00DE0AA0">
            <w:pPr>
              <w:jc w:val="left"/>
              <w:rPr>
                <w:sz w:val="22"/>
              </w:rPr>
            </w:pPr>
          </w:p>
        </w:tc>
        <w:tc>
          <w:tcPr>
            <w:tcW w:w="1990" w:type="dxa"/>
            <w:vAlign w:val="center"/>
          </w:tcPr>
          <w:p w:rsidR="00DE0AA0" w:rsidRPr="00B537C0" w:rsidRDefault="00DE0AA0" w:rsidP="00DE0AA0">
            <w:pPr>
              <w:jc w:val="left"/>
              <w:rPr>
                <w:sz w:val="22"/>
              </w:rPr>
            </w:pPr>
          </w:p>
        </w:tc>
      </w:tr>
    </w:tbl>
    <w:p w:rsidR="00DE0AA0" w:rsidRPr="00B537C0" w:rsidRDefault="00DE0AA0">
      <w:pPr>
        <w:rPr>
          <w:sz w:val="22"/>
        </w:rPr>
      </w:pPr>
    </w:p>
    <w:p w:rsidR="00DE0AA0" w:rsidRPr="00B537C0" w:rsidRDefault="00DE0AA0">
      <w:pPr>
        <w:rPr>
          <w:sz w:val="22"/>
        </w:rPr>
      </w:pPr>
      <w:r w:rsidRPr="00E52B1A">
        <w:rPr>
          <w:sz w:val="22"/>
        </w:rPr>
        <w:t xml:space="preserve">Nach § 8 Abs. </w:t>
      </w:r>
      <w:r w:rsidR="00E52B1A">
        <w:rPr>
          <w:sz w:val="22"/>
        </w:rPr>
        <w:t>5</w:t>
      </w:r>
      <w:r w:rsidRPr="00B537C0">
        <w:rPr>
          <w:sz w:val="22"/>
        </w:rPr>
        <w:t xml:space="preserve"> Gigabit-RR sollten sich die Vorleistungspreise für den Zugang zum geförderten Netz an den Vorleistungspreisen orientieren, die in wettbewerbsintensiveren Regionen für gleiche oder vergleichbare Zugangsleistungen verlangt werden bzw. an den Vorleistungspreisen, die von der Bundesnetzagentur für gleiche oder vergleichbare Zugangsleistungen festgelegt oder genehmigt worden sind.</w:t>
      </w:r>
    </w:p>
    <w:sectPr w:rsidR="00DE0AA0" w:rsidRPr="00B537C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082" w:rsidRDefault="00C02082" w:rsidP="006B2A2E">
      <w:r>
        <w:separator/>
      </w:r>
    </w:p>
  </w:endnote>
  <w:endnote w:type="continuationSeparator" w:id="0">
    <w:p w:rsidR="00C02082" w:rsidRDefault="00C02082" w:rsidP="006B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082" w:rsidRDefault="00C02082" w:rsidP="006B2A2E">
      <w:r>
        <w:separator/>
      </w:r>
    </w:p>
  </w:footnote>
  <w:footnote w:type="continuationSeparator" w:id="0">
    <w:p w:rsidR="00C02082" w:rsidRDefault="00C02082" w:rsidP="006B2A2E">
      <w:r>
        <w:continuationSeparator/>
      </w:r>
    </w:p>
  </w:footnote>
  <w:footnote w:id="1">
    <w:p w:rsidR="00C02082" w:rsidRDefault="00C02082">
      <w:pPr>
        <w:pStyle w:val="Funotentext"/>
      </w:pPr>
      <w:r>
        <w:rPr>
          <w:rStyle w:val="Funotenzeichen"/>
        </w:rPr>
        <w:footnoteRef/>
      </w:r>
      <w:r>
        <w:t xml:space="preserve"> Weil in dem Betreibermodell zwingend das Netz im Anschluss an die Errichtung betrieben wird, handelt es sich nicht um eine ausschließliche Förderung passiver Infrastrukturen i.S.d. Fußnote </w:t>
      </w:r>
      <w:r w:rsidR="00E52B1A">
        <w:t>15</w:t>
      </w:r>
      <w:r>
        <w:t xml:space="preserve"> der Gigabit-RR. Grds. wird im Rahmen der Verpachtung die Gewährung des passiven Zugangs auf den ausgewählten Netzbetreiber übertragen. Daher sind alle Formen der Zugangsgewährung durch den Betreiber zu ermöglichen. D.h. es muss von dem Betreiber auch ein Bistromzugang zur aktiven Technik gewährt werden.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A0"/>
    <w:rsid w:val="006B2A2E"/>
    <w:rsid w:val="006B7810"/>
    <w:rsid w:val="006C4CC8"/>
    <w:rsid w:val="008D792B"/>
    <w:rsid w:val="00B537C0"/>
    <w:rsid w:val="00C02082"/>
    <w:rsid w:val="00D542F3"/>
    <w:rsid w:val="00DE0AA0"/>
    <w:rsid w:val="00E52B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AEB97-EF4C-4AB0-9F29-A85E1410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2"/>
        <w:lang w:val="de-DE"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E0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E0AA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E0AA0"/>
    <w:rPr>
      <w:rFonts w:ascii="Segoe UI" w:hAnsi="Segoe UI" w:cs="Segoe UI"/>
      <w:sz w:val="18"/>
      <w:szCs w:val="18"/>
    </w:rPr>
  </w:style>
  <w:style w:type="paragraph" w:styleId="Funotentext">
    <w:name w:val="footnote text"/>
    <w:basedOn w:val="Standard"/>
    <w:link w:val="FunotentextZchn"/>
    <w:uiPriority w:val="99"/>
    <w:semiHidden/>
    <w:unhideWhenUsed/>
    <w:rsid w:val="006B2A2E"/>
    <w:rPr>
      <w:sz w:val="20"/>
      <w:szCs w:val="20"/>
    </w:rPr>
  </w:style>
  <w:style w:type="character" w:customStyle="1" w:styleId="FunotentextZchn">
    <w:name w:val="Fußnotentext Zchn"/>
    <w:basedOn w:val="Absatz-Standardschriftart"/>
    <w:link w:val="Funotentext"/>
    <w:uiPriority w:val="99"/>
    <w:semiHidden/>
    <w:rsid w:val="006B2A2E"/>
    <w:rPr>
      <w:sz w:val="20"/>
      <w:szCs w:val="20"/>
    </w:rPr>
  </w:style>
  <w:style w:type="character" w:styleId="Funotenzeichen">
    <w:name w:val="footnote reference"/>
    <w:basedOn w:val="Absatz-Standardschriftart"/>
    <w:uiPriority w:val="99"/>
    <w:semiHidden/>
    <w:unhideWhenUsed/>
    <w:rsid w:val="006B2A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51E95-D5E3-48BA-9F8A-A256FBE6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1468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your admins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Pencak, Elina [Muth &amp; Partner mbB]</dc:creator>
  <cp:keywords/>
  <dc:description/>
  <cp:lastModifiedBy>Pencak, Elina [Muth &amp; Partner mbB]</cp:lastModifiedBy>
  <cp:revision>2</cp:revision>
  <dcterms:created xsi:type="dcterms:W3CDTF">2022-12-19T13:48:00Z</dcterms:created>
  <dcterms:modified xsi:type="dcterms:W3CDTF">2022-12-19T13:48:00Z</dcterms:modified>
</cp:coreProperties>
</file>